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060477CA" w14:textId="77777777" w:rsidTr="00475C28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46ED3FEA" w:rsidR="005C2EC8" w:rsidRPr="005C2EC8" w:rsidRDefault="0032120B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16B9E0CE" wp14:editId="5CCA860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61595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2EC8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4E84D38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BA195D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341985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341985">
              <w:rPr>
                <w:rFonts w:asciiTheme="minorHAnsi" w:hAnsiTheme="minorHAnsi" w:cstheme="minorHAnsi"/>
                <w:b/>
                <w:bCs/>
                <w:color w:val="21517E"/>
              </w:rPr>
              <w:t>01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341985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17343823" w:rsidR="005C2EC8" w:rsidRPr="00AB3E99" w:rsidRDefault="00845288" w:rsidP="00341985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550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Житомирській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34198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грудні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475C28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  <w:tcMar>
              <w:left w:w="85" w:type="dxa"/>
              <w:right w:w="85" w:type="dxa"/>
            </w:tcMar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835855E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F55002">
              <w:rPr>
                <w:sz w:val="20"/>
                <w:szCs w:val="20"/>
                <w:lang w:eastAsia="uk-UA"/>
              </w:rPr>
              <w:t>Житомирській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15B1E3D3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545553" w:rsidRPr="005455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74CC6909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31816315" w14:textId="06E3187F" w:rsidR="005C2EC8" w:rsidRPr="00E57D15" w:rsidRDefault="005C2EC8" w:rsidP="00E57D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0412) 4</w:t>
            </w:r>
            <w:r w:rsidR="00E57D15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38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0BBC5FBC" w14:textId="3A7BA3C9" w:rsidR="00183730" w:rsidRDefault="00D248DB" w:rsidP="00183730">
      <w:pPr>
        <w:pStyle w:val="--12"/>
      </w:pPr>
      <w:r w:rsidRPr="00D248DB">
        <w:t xml:space="preserve">Споживчі ціни у </w:t>
      </w:r>
      <w:r w:rsidR="00341985">
        <w:t>грудн</w:t>
      </w:r>
      <w:r w:rsidRPr="00D248DB">
        <w:t xml:space="preserve">і 2025р. порівняно з </w:t>
      </w:r>
      <w:r w:rsidR="00341985">
        <w:t>листопадом</w:t>
      </w:r>
      <w:r w:rsidRPr="00D248DB">
        <w:t xml:space="preserve"> 2025р. по області зросли на 0,</w:t>
      </w:r>
      <w:r w:rsidR="00341985">
        <w:t>5</w:t>
      </w:r>
      <w:r w:rsidRPr="00D248DB">
        <w:t>%, по Україні – на 0,</w:t>
      </w:r>
      <w:r w:rsidR="00341985">
        <w:t>2</w:t>
      </w:r>
      <w:r w:rsidRPr="00D248DB">
        <w:t xml:space="preserve">%, з початку року </w:t>
      </w:r>
      <w:r w:rsidR="00F40A42">
        <w:t xml:space="preserve">– </w:t>
      </w:r>
      <w:r w:rsidRPr="00D248DB">
        <w:t xml:space="preserve">зросли на </w:t>
      </w:r>
      <w:r w:rsidR="00341985">
        <w:t>8,4</w:t>
      </w:r>
      <w:r w:rsidRPr="00D248DB">
        <w:t xml:space="preserve">% та </w:t>
      </w:r>
      <w:r w:rsidR="00341985">
        <w:t>8,0</w:t>
      </w:r>
      <w:r w:rsidRPr="00D248DB">
        <w:t>% відповідно.</w:t>
      </w:r>
      <w:r w:rsidRPr="00D248DB">
        <w:rPr>
          <w:lang w:val="ru-RU"/>
        </w:rPr>
        <w:t xml:space="preserve"> 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35E40ADE">
            <wp:extent cx="2921000" cy="1878965"/>
            <wp:effectExtent l="0" t="0" r="0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67293D22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0D7C740" w14:textId="77777777" w:rsidR="006B3A32" w:rsidRDefault="006B3A32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7D9B2104" w:rsidR="00464B9F" w:rsidRDefault="00C20984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Грудень 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 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14A64DDF" w:rsidR="00464B9F" w:rsidRDefault="00C20984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1528D4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25FC5E74" w:rsidR="00464B9F" w:rsidRDefault="00F4211F" w:rsidP="00A546CA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A546C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31380E1E" w:rsidR="00464B9F" w:rsidRPr="00A546CA" w:rsidRDefault="00A546CA" w:rsidP="00C2098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C20984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13E7457F" w:rsidR="00464B9F" w:rsidRDefault="00C20984" w:rsidP="00C2098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8,4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06E1DE77" w:rsidR="00464B9F" w:rsidRDefault="004A44A4" w:rsidP="00C2098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C20984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4A9DC58B" w:rsidR="00464B9F" w:rsidRDefault="004A44A4" w:rsidP="00C2098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</w:t>
            </w:r>
            <w:r w:rsidR="00A546CA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0094A244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422980F" w:rsidR="00464B9F" w:rsidRDefault="006701A3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4040A352" w:rsidR="00464B9F" w:rsidRDefault="00DA0C38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75A6CEA2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36686852" w:rsidR="00464B9F" w:rsidRDefault="00DA0C38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139EECA3" w:rsidR="00464B9F" w:rsidRDefault="006701A3" w:rsidP="004A44A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4A44A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5CD5E60D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0F5E2061" w:rsidR="00464B9F" w:rsidRDefault="00DA0C38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57B0EE29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552811B2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06ED1E99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6701A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0FEEDFDB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15DE552E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320E06FA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14B29719" w:rsidR="00464B9F" w:rsidRDefault="00464B9F" w:rsidP="00C20984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3230529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22A4E66C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0EF48A75" w:rsidR="00464B9F" w:rsidRDefault="00D01040" w:rsidP="00D010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50598FBB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4A44A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36F4B7A6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3094151B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0C3D76E4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5936B8D4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08C7E92E" w:rsidR="00464B9F" w:rsidRDefault="00DA0C38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6198CA40" w:rsidR="00464B9F" w:rsidRDefault="004A44A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62E02AD8" w:rsidR="00464B9F" w:rsidRDefault="00C20984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297407E1" w:rsidR="00464B9F" w:rsidRDefault="00DA0C38" w:rsidP="004A44A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4A44A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29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0B32423" w:rsidR="00464B9F" w:rsidRDefault="00DA0C38" w:rsidP="00C2098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C20984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1D4B7C63" w:rsidR="00464B9F" w:rsidRDefault="00DA0C38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BA3666F" w:rsidR="00464B9F" w:rsidRDefault="00480AC0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76A76975" w:rsidR="00464B9F" w:rsidRDefault="00DA0C38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1CD8240" w:rsidR="00464B9F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7FD1242" w:rsidR="00464B9F" w:rsidRDefault="00DA0C38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6120D00C" w:rsidR="0037204B" w:rsidRDefault="00B7762B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178FB884" w:rsidR="0037204B" w:rsidRDefault="00B7762B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55DF2895" w:rsidR="0037204B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3600CA46" w:rsidR="0037204B" w:rsidRDefault="00DA0C38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B7762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191A3650" w:rsidR="0037204B" w:rsidRDefault="00480AC0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B7762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0C427DBD" w:rsidR="0037204B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103A8D5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7470D143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9DBBD92" w:rsidR="00B128E5" w:rsidRDefault="007A027C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4B061C22" w:rsidR="00B128E5" w:rsidRDefault="007A027C" w:rsidP="00C503D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1528D4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</w:t>
            </w:r>
            <w:r w:rsidR="00A546C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289B18A" w:rsidR="00B128E5" w:rsidRDefault="00A546CA" w:rsidP="00A546C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2024 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17F69F67" w:rsidR="00B128E5" w:rsidRDefault="00DA0C38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2822C0BA" w:rsidR="00B128E5" w:rsidRDefault="00B7762B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6A30BED2" w:rsidR="00B128E5" w:rsidRDefault="00DA0C38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6A232A0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471E69E6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74D16AE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5E303544" w:rsidR="00B128E5" w:rsidRDefault="007A027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59A32953" w:rsidR="00B128E5" w:rsidRDefault="00B7762B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26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,0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B69646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53E4C9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26CA1385" w:rsidR="00B128E5" w:rsidRDefault="00DA0C38" w:rsidP="001D2F1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1D2F1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2381D7B4" w:rsidR="00B128E5" w:rsidRDefault="00DA0C38" w:rsidP="00480AC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480AC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5E2FF85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7157DB0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527A942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43936D45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09D3D1A0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E1DADA3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75E54EEC" w:rsidR="00B128E5" w:rsidRDefault="00DA0C38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3467F002" w:rsidR="00B128E5" w:rsidRDefault="00B7762B" w:rsidP="00B7762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 w:rsidR="00480AC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2F5D8EA8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75500EDE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486729CA" w:rsidR="00B128E5" w:rsidRDefault="00B7762B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47458206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5099ED21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57BB669B" w:rsidR="00B128E5" w:rsidRDefault="007A027C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B7762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28B0BC50" w:rsidR="00B128E5" w:rsidRDefault="007A027C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B7762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3227D458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C2777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4395C8D5" w:rsidR="00B128E5" w:rsidRDefault="00B7762B" w:rsidP="00B7762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  <w:r w:rsidR="00DA0C3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1E6850DA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02EB81BD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77253158" w:rsidR="00B128E5" w:rsidRDefault="007A027C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B7762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6485C0A" w:rsidR="00B128E5" w:rsidRDefault="00DA0C38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B7762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1BD8656A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753700A8" w:rsidR="00B128E5" w:rsidRDefault="007A027C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43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077A1F1E" w:rsidR="00B128E5" w:rsidRDefault="00B7762B" w:rsidP="00B7762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DA0C3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4480D7C0" w:rsidR="00B128E5" w:rsidRDefault="00DA0C38" w:rsidP="007A027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C2777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1DE1B785" w:rsidR="00B128E5" w:rsidRDefault="00AA169B" w:rsidP="00B7762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B7762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733392EA" w:rsidR="00B128E5" w:rsidRDefault="00AA169B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0E4DE6ED" w:rsidR="00B128E5" w:rsidRDefault="001D2F10" w:rsidP="001D2F1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75AF8F0B" w:rsidR="00B128E5" w:rsidRDefault="001D2F10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50DC869E" w:rsidR="00B128E5" w:rsidRDefault="00C27770" w:rsidP="001D2F1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39A4371E" w:rsidR="00B128E5" w:rsidRDefault="00AA169B" w:rsidP="001D2F1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</w:t>
            </w:r>
            <w:r w:rsidR="001D2F1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3B46CD6C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7C78BE69" w:rsidR="00B128E5" w:rsidRDefault="00AA169B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 w:rsidR="007A027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3F30338D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5A886C03" w:rsidR="00B128E5" w:rsidRDefault="007A027C" w:rsidP="007A027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</w:t>
            </w:r>
            <w:r w:rsidR="00AA169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6E3757" w:rsidRPr="006E3757" w14:paraId="613197D9" w14:textId="77777777" w:rsidTr="00525AB4">
        <w:tc>
          <w:tcPr>
            <w:tcW w:w="4678" w:type="dxa"/>
          </w:tcPr>
          <w:p w14:paraId="0E069358" w14:textId="2B122CDF" w:rsidR="00457308" w:rsidRPr="00FF434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pacing w:val="-4"/>
                <w:sz w:val="22"/>
                <w:szCs w:val="22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споживчому ринку у </w:t>
            </w:r>
            <w:r w:rsidR="00A0157B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грудні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357954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ціни на 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продукти харчування та безалкогольні напої </w:t>
            </w:r>
            <w:r w:rsidR="00985CAE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зросли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на 0,</w:t>
            </w:r>
            <w:r w:rsidR="00A0157B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1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%. </w:t>
            </w:r>
            <w:r w:rsidR="00EA121B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Найбільше подорожчали </w:t>
            </w:r>
            <w:r w:rsidR="0022078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яйця – на 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9,2</w:t>
            </w:r>
            <w:r w:rsidR="0022078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%,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риба та продукти з риби – на 3,3%.</w:t>
            </w:r>
            <w:r w:rsidR="0022078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Також зросли ціни на соняшникову олію, борошно та крупи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, масло, </w:t>
            </w:r>
            <w:r w:rsidR="0022078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молоко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, морозиво, сало та хліб – 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2,7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-0,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5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%.</w:t>
            </w:r>
          </w:p>
          <w:p w14:paraId="62D2923E" w14:textId="5B98F0E7" w:rsidR="00457308" w:rsidRPr="00FF4342" w:rsidRDefault="00EA121B" w:rsidP="00457308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pacing w:val="-4"/>
                <w:sz w:val="22"/>
                <w:szCs w:val="22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Водночас, п</w:t>
            </w:r>
            <w:r w:rsidR="006B3A3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одешевшали 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маргарин, олив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softHyphen/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кова олія, </w:t>
            </w:r>
            <w:r w:rsidR="0022078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кондитерські вироби з цукру,</w:t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кисло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softHyphen/>
            </w:r>
            <w:r w:rsidR="00220789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молочна продукція, 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свинина,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цукор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–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5,9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-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1,3</w:t>
            </w:r>
            <w:r w:rsidR="00457308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%.</w:t>
            </w:r>
          </w:p>
          <w:p w14:paraId="54D734E1" w14:textId="2FADF7C2" w:rsidR="00FF60A9" w:rsidRPr="00FF434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pacing w:val="-4"/>
                <w:sz w:val="22"/>
                <w:szCs w:val="22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Ціни на овочі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зменшились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загалом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0,5</w:t>
            </w:r>
            <w:r w:rsidR="00EA121B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.</w:t>
            </w:r>
            <w:r w:rsidR="00EA121B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Подешевшали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капуст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а, коренепло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softHyphen/>
              <w:t>ди, цибуля, гриби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та 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картопл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я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14,3-10,3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%. 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При цьому 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овочі, вирощен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і</w:t>
            </w:r>
            <w:r w:rsidR="00B80CA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з насіння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подорожчали 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9,1%.</w:t>
            </w:r>
          </w:p>
          <w:p w14:paraId="519FA284" w14:textId="5610F458" w:rsidR="006B3A32" w:rsidRPr="00FF434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pacing w:val="-4"/>
                <w:sz w:val="22"/>
                <w:szCs w:val="22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Ціни на фрукти знизились в цілому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2,9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417B67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,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417B67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зокрема,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цитрусові – 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6,7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D8671A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,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яблука –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3,5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%,</w:t>
            </w:r>
            <w:r w:rsidR="005F326C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однак 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банани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подорожчали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0,8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%.</w:t>
            </w:r>
          </w:p>
          <w:p w14:paraId="742A8049" w14:textId="785632FD" w:rsidR="006B3A32" w:rsidRPr="00FF4342" w:rsidRDefault="006B3A32" w:rsidP="00A03833">
            <w:pPr>
              <w:widowControl w:val="0"/>
              <w:ind w:firstLine="567"/>
              <w:jc w:val="both"/>
              <w:rPr>
                <w:rFonts w:ascii="Calibri" w:hAnsi="Calibri"/>
                <w:color w:val="22517D"/>
                <w:spacing w:val="-4"/>
                <w:sz w:val="22"/>
                <w:szCs w:val="22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Тютюнові вироби подорожчали на 1,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5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%, алкогольні напої –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на 0,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2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%.</w:t>
            </w:r>
          </w:p>
          <w:p w14:paraId="015F9F8E" w14:textId="3BE4BA46" w:rsidR="00273B54" w:rsidRPr="00D25EC4" w:rsidRDefault="006B3A32" w:rsidP="000B22B2">
            <w:pPr>
              <w:widowControl w:val="0"/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У сфері охорони здоров’я под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ешевшала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фармацевтична продукція –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0,7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%, 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послуги лікарень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подорожчали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на </w:t>
            </w:r>
            <w:r w:rsidR="00B80CAC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6,7</w:t>
            </w:r>
            <w:r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%. </w:t>
            </w:r>
            <w:r w:rsidR="00694E0E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Паливо та мастила </w:t>
            </w:r>
            <w:r w:rsidR="00694E0E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зросли в ціні </w:t>
            </w:r>
            <w:r w:rsidR="00694E0E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1,2%, </w:t>
            </w:r>
            <w:r w:rsidR="00694E0E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транс</w:t>
            </w:r>
            <w:bookmarkStart w:id="1" w:name="_GoBack"/>
            <w:bookmarkEnd w:id="1"/>
            <w:r w:rsidR="00694E0E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порт</w:t>
            </w:r>
            <w:r w:rsidR="00694E0E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ні п</w:t>
            </w:r>
            <w:r w:rsidR="00C503D1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ослуги </w:t>
            </w:r>
            <w:r w:rsidR="00694E0E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–</w:t>
            </w:r>
            <w:r w:rsidR="00C503D1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 на </w:t>
            </w:r>
            <w:r w:rsidR="00694E0E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0,6</w:t>
            </w:r>
            <w:r w:rsidR="00C503D1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.</w:t>
            </w:r>
            <w:r w:rsidR="00C503D1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Плата за </w:t>
            </w:r>
            <w:r w:rsidR="009E4EA3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послуги ресторанів та готелів </w:t>
            </w:r>
            <w:r w:rsidR="006957C8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збільшилась</w:t>
            </w:r>
            <w:r w:rsidR="009E4EA3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на 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1,5</w:t>
            </w:r>
            <w:r w:rsidR="009E4EA3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, за о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ренд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у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житла 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–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1,0</w:t>
            </w:r>
            <w:r w:rsidR="00C503D1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A03833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,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за </w:t>
            </w:r>
            <w:r w:rsidR="009E4EA3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зв'язок – на 0,2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.</w:t>
            </w:r>
            <w:r w:rsidR="008755BD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О</w:t>
            </w:r>
            <w:r w:rsidR="00E44E97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дяг і взуття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подешевшали 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на 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0,8</w:t>
            </w:r>
            <w:r w:rsidR="00FF60A9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%</w:t>
            </w:r>
            <w:r w:rsidR="009E4EA3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>.</w:t>
            </w:r>
            <w:r w:rsidR="00FF4342" w:rsidRPr="00FF4342">
              <w:rPr>
                <w:rFonts w:ascii="Calibri" w:hAnsi="Calibri"/>
                <w:color w:val="22517D"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74DC2BEA">
                  <wp:extent cx="3095625" cy="1129665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7FCD7803">
                  <wp:extent cx="3143250" cy="1129665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00F222D2">
                  <wp:extent cx="3086735" cy="1129665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93542AA" w:rsidR="006E3757" w:rsidRPr="006E3757" w:rsidRDefault="0079161D" w:rsidP="0079161D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"Зміни цін (тарифів) на споживчі товари (послуги)", методологія якого враховує загальні вимоги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Конвенції 160 Міжнародної організації праці 1985 року (стаття 12), Резолюції з питань індексів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споживчих цін, прийнятої на 17-й міжнародній конференції статистиків праці (2003), Регламенту (ЄС)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№ 2016/792 від 11 травня 2016 року, Виконавчого регламенту Комісії (ЄС) № 2020/1148 від 31 липня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2020 року, а також "Керівництва щодо індексів споживчих цін: Поняття та методи", підготовленого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Міжнародним валютним фондом, Міжнародною організацією праці, Статистичним бюро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Європейської спільноти (</w:t>
            </w:r>
            <w:proofErr w:type="spellStart"/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9161D">
              <w:rPr>
                <w:rFonts w:ascii="Calibri" w:hAnsi="Calibri"/>
                <w:color w:val="22517D"/>
                <w:sz w:val="22"/>
                <w:szCs w:val="22"/>
              </w:rPr>
              <w:t xml:space="preserve">Націй, Організацією економічного співробітництва і розвитку (ОЕСР) та Світовим банком (2020). 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DBB659D" w14:textId="77777777" w:rsidR="001A2067" w:rsidRDefault="006E3757" w:rsidP="001A2067">
            <w:pPr>
              <w:pStyle w:val="--12"/>
              <w:ind w:firstLine="0"/>
              <w:rPr>
                <w:rFonts w:ascii="Calibri" w:hAnsi="Calibri"/>
                <w:sz w:val="22"/>
                <w:szCs w:val="22"/>
              </w:rPr>
            </w:pPr>
            <w:r w:rsidRPr="006E3757">
              <w:rPr>
                <w:rFonts w:ascii="Calibri" w:hAnsi="Calibri"/>
                <w:sz w:val="22"/>
                <w:szCs w:val="22"/>
              </w:rPr>
              <w:t>Методологічні положення:</w:t>
            </w:r>
          </w:p>
          <w:p w14:paraId="2CE6498F" w14:textId="52E5E8B4" w:rsidR="001A2067" w:rsidRPr="00B3722C" w:rsidRDefault="006D55F5" w:rsidP="001A2067">
            <w:pPr>
              <w:pStyle w:val="--12"/>
              <w:ind w:firstLine="0"/>
              <w:rPr>
                <w:sz w:val="22"/>
                <w:szCs w:val="22"/>
              </w:rPr>
            </w:pPr>
            <w:hyperlink r:id="rId27" w:history="1">
              <w:r w:rsidR="001A2067" w:rsidRPr="00B3722C">
                <w:rPr>
                  <w:rStyle w:val="a5"/>
                  <w:color w:val="22517D"/>
                  <w:sz w:val="22"/>
                  <w:szCs w:val="22"/>
                </w:rPr>
                <w:t>https://stat.gov.ua/sites/default/files/migration/files/2023/190_2023/190_2023.pdf</w:t>
              </w:r>
            </w:hyperlink>
            <w:r w:rsidR="001A2067" w:rsidRPr="00B3722C">
              <w:rPr>
                <w:sz w:val="22"/>
                <w:szCs w:val="22"/>
              </w:rPr>
              <w:t>.</w:t>
            </w:r>
          </w:p>
          <w:p w14:paraId="7E9EBC46" w14:textId="139C8B1E" w:rsidR="00246029" w:rsidRPr="00B3722C" w:rsidRDefault="00246029" w:rsidP="006E3757">
            <w:pPr>
              <w:jc w:val="both"/>
              <w:rPr>
                <w:rFonts w:cs="Calibri"/>
                <w:color w:val="22517D"/>
                <w:sz w:val="22"/>
                <w:szCs w:val="22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674DB9F0" w14:textId="77777777" w:rsidR="007A68F8" w:rsidRDefault="007A68F8" w:rsidP="00183730">
      <w:pPr>
        <w:pStyle w:val="--12"/>
        <w:ind w:firstLine="0"/>
      </w:pPr>
    </w:p>
    <w:p w14:paraId="7A2AB102" w14:textId="77777777" w:rsidR="007A68F8" w:rsidRDefault="007A68F8" w:rsidP="00183730">
      <w:pPr>
        <w:pStyle w:val="--12"/>
        <w:ind w:firstLine="0"/>
      </w:pPr>
    </w:p>
    <w:p w14:paraId="52D588B2" w14:textId="77777777" w:rsidR="007A68F8" w:rsidRDefault="007A68F8" w:rsidP="00183730">
      <w:pPr>
        <w:pStyle w:val="--12"/>
        <w:ind w:firstLine="0"/>
      </w:pPr>
    </w:p>
    <w:p w14:paraId="64E9EEF3" w14:textId="77777777" w:rsidR="007A68F8" w:rsidRDefault="007A68F8" w:rsidP="00183730">
      <w:pPr>
        <w:pStyle w:val="--12"/>
        <w:ind w:firstLine="0"/>
      </w:pPr>
    </w:p>
    <w:p w14:paraId="7D80DBC1" w14:textId="77777777" w:rsidR="007A68F8" w:rsidRDefault="007A68F8" w:rsidP="00183730">
      <w:pPr>
        <w:pStyle w:val="--12"/>
        <w:ind w:firstLine="0"/>
      </w:pPr>
    </w:p>
    <w:p w14:paraId="537B8881" w14:textId="77777777" w:rsidR="007A68F8" w:rsidRDefault="007A68F8" w:rsidP="00183730">
      <w:pPr>
        <w:pStyle w:val="--12"/>
        <w:ind w:firstLine="0"/>
      </w:pPr>
    </w:p>
    <w:p w14:paraId="45308D69" w14:textId="77777777" w:rsidR="007A68F8" w:rsidRDefault="007A68F8" w:rsidP="00183730">
      <w:pPr>
        <w:pStyle w:val="--12"/>
        <w:ind w:firstLine="0"/>
      </w:pPr>
    </w:p>
    <w:p w14:paraId="591D189B" w14:textId="77777777" w:rsidR="001A2067" w:rsidRDefault="001A2067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9773FC0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13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cina</w:t>
              </w:r>
              <w:r w:rsidR="00212E83" w:rsidRPr="00A546CA">
                <w:rPr>
                  <w:rStyle w:val="a5"/>
                  <w:rFonts w:ascii="Calibri Light" w:hAnsi="Calibri Light" w:cs="Calibri Light"/>
                  <w:sz w:val="20"/>
                  <w:szCs w:val="20"/>
                  <w:lang w:val="ru-RU"/>
                </w:rPr>
                <w:t>_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gus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</w:rPr>
                <w:t>@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zt</w:t>
              </w:r>
              <w:r w:rsidR="00212E83" w:rsidRPr="00A546CA">
                <w:rPr>
                  <w:rStyle w:val="a5"/>
                  <w:rFonts w:ascii="Calibri Light" w:hAnsi="Calibri Light" w:cs="Calibri Light"/>
                  <w:sz w:val="20"/>
                  <w:szCs w:val="20"/>
                  <w:lang w:val="ru-RU"/>
                </w:rPr>
                <w:t>.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  <w:lang w:val="en-US"/>
                </w:rPr>
                <w:t>ukrstat</w:t>
              </w:r>
              <w:r w:rsidR="00212E83" w:rsidRPr="00A777B9">
                <w:rPr>
                  <w:rStyle w:val="a5"/>
                  <w:rFonts w:ascii="Calibri Light" w:hAnsi="Calibri Light" w:cs="Calibri Light"/>
                  <w:sz w:val="20"/>
                  <w:szCs w:val="20"/>
                </w:rPr>
                <w:t>.gov.ua</w:t>
              </w:r>
            </w:hyperlink>
          </w:p>
          <w:p w14:paraId="64F92E3D" w14:textId="07FB71C5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r w:rsidR="001A2067" w:rsidRPr="001A2067">
              <w:rPr>
                <w:rStyle w:val="a5"/>
                <w:rFonts w:ascii="Calibri Light" w:hAnsi="Calibri Light" w:cs="Calibri Light"/>
                <w:sz w:val="20"/>
                <w:szCs w:val="20"/>
              </w:rPr>
              <w:t>https://stat.gov.ua/uk/datasets/zminy-tsin-taryfiv-na-spozhyvchi-tovary-posluhy</w:t>
            </w:r>
          </w:p>
          <w:p w14:paraId="5880B3D0" w14:textId="59CAA410" w:rsidR="00356050" w:rsidRPr="00356050" w:rsidRDefault="00356050" w:rsidP="0079161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212E83" w:rsidRP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Житомирській області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79161D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DE6A8B">
      <w:type w:val="continuous"/>
      <w:pgSz w:w="11906" w:h="16838" w:code="9"/>
      <w:pgMar w:top="851" w:right="1134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6ED7F" w14:textId="77777777" w:rsidR="006D55F5" w:rsidRDefault="006D55F5" w:rsidP="005345A4">
      <w:r>
        <w:separator/>
      </w:r>
    </w:p>
  </w:endnote>
  <w:endnote w:type="continuationSeparator" w:id="0">
    <w:p w14:paraId="30146F72" w14:textId="77777777" w:rsidR="006D55F5" w:rsidRDefault="006D55F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0B22B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727DD" w14:textId="77777777" w:rsidR="006D55F5" w:rsidRDefault="006D55F5" w:rsidP="005345A4">
      <w:r>
        <w:separator/>
      </w:r>
    </w:p>
  </w:footnote>
  <w:footnote w:type="continuationSeparator" w:id="0">
    <w:p w14:paraId="1B9F60EC" w14:textId="77777777" w:rsidR="006D55F5" w:rsidRDefault="006D55F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79BE"/>
    <w:rsid w:val="00062027"/>
    <w:rsid w:val="00062038"/>
    <w:rsid w:val="00062D72"/>
    <w:rsid w:val="00072F45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2B2"/>
    <w:rsid w:val="000B2664"/>
    <w:rsid w:val="000B5ED1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8D4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206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2F10"/>
    <w:rsid w:val="001D3564"/>
    <w:rsid w:val="001D366B"/>
    <w:rsid w:val="001D3E55"/>
    <w:rsid w:val="001D717D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2E83"/>
    <w:rsid w:val="002141FD"/>
    <w:rsid w:val="002161EA"/>
    <w:rsid w:val="00216287"/>
    <w:rsid w:val="00217EAD"/>
    <w:rsid w:val="002204A8"/>
    <w:rsid w:val="0022068C"/>
    <w:rsid w:val="00220789"/>
    <w:rsid w:val="00220CE3"/>
    <w:rsid w:val="00221BA0"/>
    <w:rsid w:val="002230DD"/>
    <w:rsid w:val="00223C08"/>
    <w:rsid w:val="002257BC"/>
    <w:rsid w:val="00233F9C"/>
    <w:rsid w:val="00235412"/>
    <w:rsid w:val="00237BA1"/>
    <w:rsid w:val="00237BC8"/>
    <w:rsid w:val="00237D0B"/>
    <w:rsid w:val="002417BB"/>
    <w:rsid w:val="002437E6"/>
    <w:rsid w:val="002442E9"/>
    <w:rsid w:val="00246029"/>
    <w:rsid w:val="002530AB"/>
    <w:rsid w:val="0025430D"/>
    <w:rsid w:val="00254775"/>
    <w:rsid w:val="00256FF8"/>
    <w:rsid w:val="00260148"/>
    <w:rsid w:val="00260BB1"/>
    <w:rsid w:val="002645CD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40E5"/>
    <w:rsid w:val="002A7545"/>
    <w:rsid w:val="002C0E14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20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85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954"/>
    <w:rsid w:val="00357A0C"/>
    <w:rsid w:val="00363263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8FE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448"/>
    <w:rsid w:val="003C6F2B"/>
    <w:rsid w:val="003D03D1"/>
    <w:rsid w:val="003D09E7"/>
    <w:rsid w:val="003D0B51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025E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91A"/>
    <w:rsid w:val="00417A7B"/>
    <w:rsid w:val="00417B67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308"/>
    <w:rsid w:val="00457B82"/>
    <w:rsid w:val="00463544"/>
    <w:rsid w:val="00464B9F"/>
    <w:rsid w:val="004650F4"/>
    <w:rsid w:val="0046766F"/>
    <w:rsid w:val="00471705"/>
    <w:rsid w:val="0047250F"/>
    <w:rsid w:val="00472928"/>
    <w:rsid w:val="00475C28"/>
    <w:rsid w:val="00476523"/>
    <w:rsid w:val="00476F0F"/>
    <w:rsid w:val="00480431"/>
    <w:rsid w:val="00480AC0"/>
    <w:rsid w:val="00491221"/>
    <w:rsid w:val="004914A3"/>
    <w:rsid w:val="004952BE"/>
    <w:rsid w:val="00497D31"/>
    <w:rsid w:val="004A250A"/>
    <w:rsid w:val="004A301A"/>
    <w:rsid w:val="004A44A4"/>
    <w:rsid w:val="004A4714"/>
    <w:rsid w:val="004A4E30"/>
    <w:rsid w:val="004A5264"/>
    <w:rsid w:val="004A5DC2"/>
    <w:rsid w:val="004A7853"/>
    <w:rsid w:val="004A7FF8"/>
    <w:rsid w:val="004B14E2"/>
    <w:rsid w:val="004B348D"/>
    <w:rsid w:val="004B4633"/>
    <w:rsid w:val="004C0BE4"/>
    <w:rsid w:val="004C104B"/>
    <w:rsid w:val="004C50E5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3010"/>
    <w:rsid w:val="0050459D"/>
    <w:rsid w:val="005058BB"/>
    <w:rsid w:val="005128F4"/>
    <w:rsid w:val="0052004B"/>
    <w:rsid w:val="0052077A"/>
    <w:rsid w:val="00521B65"/>
    <w:rsid w:val="00525AB4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553"/>
    <w:rsid w:val="00545A7F"/>
    <w:rsid w:val="00545E01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148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57E7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26C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671BF"/>
    <w:rsid w:val="006701A3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4E0E"/>
    <w:rsid w:val="006957C8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A32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55F5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466"/>
    <w:rsid w:val="00757281"/>
    <w:rsid w:val="00766689"/>
    <w:rsid w:val="00766BC3"/>
    <w:rsid w:val="00766EC8"/>
    <w:rsid w:val="007671B2"/>
    <w:rsid w:val="00773B81"/>
    <w:rsid w:val="00776B29"/>
    <w:rsid w:val="0078111F"/>
    <w:rsid w:val="007818D2"/>
    <w:rsid w:val="0078504D"/>
    <w:rsid w:val="007876BB"/>
    <w:rsid w:val="0079161D"/>
    <w:rsid w:val="007920ED"/>
    <w:rsid w:val="00795BB0"/>
    <w:rsid w:val="007976C0"/>
    <w:rsid w:val="007A027C"/>
    <w:rsid w:val="007A68F8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55BD"/>
    <w:rsid w:val="00876A6A"/>
    <w:rsid w:val="0087789B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336C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31B0"/>
    <w:rsid w:val="00915FE3"/>
    <w:rsid w:val="0091702C"/>
    <w:rsid w:val="00921C44"/>
    <w:rsid w:val="009222FD"/>
    <w:rsid w:val="00922558"/>
    <w:rsid w:val="009235EA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CAE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068"/>
    <w:rsid w:val="009C119B"/>
    <w:rsid w:val="009C6B1C"/>
    <w:rsid w:val="009D11D7"/>
    <w:rsid w:val="009D4F13"/>
    <w:rsid w:val="009D6608"/>
    <w:rsid w:val="009D786F"/>
    <w:rsid w:val="009D7C33"/>
    <w:rsid w:val="009E1E14"/>
    <w:rsid w:val="009E4EA3"/>
    <w:rsid w:val="009F1643"/>
    <w:rsid w:val="009F1BC9"/>
    <w:rsid w:val="009F7EBB"/>
    <w:rsid w:val="00A0157B"/>
    <w:rsid w:val="00A02EA0"/>
    <w:rsid w:val="00A03001"/>
    <w:rsid w:val="00A03833"/>
    <w:rsid w:val="00A03D04"/>
    <w:rsid w:val="00A07747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46CA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169B"/>
    <w:rsid w:val="00AA2C96"/>
    <w:rsid w:val="00AA483D"/>
    <w:rsid w:val="00AA4FCE"/>
    <w:rsid w:val="00AA5AE8"/>
    <w:rsid w:val="00AA6195"/>
    <w:rsid w:val="00AB09A5"/>
    <w:rsid w:val="00AB16D7"/>
    <w:rsid w:val="00AB3E99"/>
    <w:rsid w:val="00AB50F9"/>
    <w:rsid w:val="00AB610E"/>
    <w:rsid w:val="00AB6859"/>
    <w:rsid w:val="00AC1363"/>
    <w:rsid w:val="00AC38A5"/>
    <w:rsid w:val="00AC4845"/>
    <w:rsid w:val="00AC4CE2"/>
    <w:rsid w:val="00AC6C14"/>
    <w:rsid w:val="00AD3F54"/>
    <w:rsid w:val="00AD5329"/>
    <w:rsid w:val="00AD7A18"/>
    <w:rsid w:val="00AE18BE"/>
    <w:rsid w:val="00AE3AF4"/>
    <w:rsid w:val="00AE4AED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3722C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62B"/>
    <w:rsid w:val="00B77832"/>
    <w:rsid w:val="00B80CAC"/>
    <w:rsid w:val="00B816F5"/>
    <w:rsid w:val="00B834D4"/>
    <w:rsid w:val="00B92EB6"/>
    <w:rsid w:val="00B9457F"/>
    <w:rsid w:val="00B958CA"/>
    <w:rsid w:val="00B9620F"/>
    <w:rsid w:val="00BA0DAC"/>
    <w:rsid w:val="00BA195D"/>
    <w:rsid w:val="00BA3D5E"/>
    <w:rsid w:val="00BA5516"/>
    <w:rsid w:val="00BA75C3"/>
    <w:rsid w:val="00BB3F8D"/>
    <w:rsid w:val="00BB6E4A"/>
    <w:rsid w:val="00BB6EA4"/>
    <w:rsid w:val="00BC01AC"/>
    <w:rsid w:val="00BC08AA"/>
    <w:rsid w:val="00BC4175"/>
    <w:rsid w:val="00BC5429"/>
    <w:rsid w:val="00BC5DB4"/>
    <w:rsid w:val="00BC6566"/>
    <w:rsid w:val="00BD7BCA"/>
    <w:rsid w:val="00BE0C4A"/>
    <w:rsid w:val="00BE344F"/>
    <w:rsid w:val="00BE47D5"/>
    <w:rsid w:val="00BE70F0"/>
    <w:rsid w:val="00BE7BAC"/>
    <w:rsid w:val="00BF0B0D"/>
    <w:rsid w:val="00BF213C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0984"/>
    <w:rsid w:val="00C2487A"/>
    <w:rsid w:val="00C25704"/>
    <w:rsid w:val="00C273F6"/>
    <w:rsid w:val="00C27770"/>
    <w:rsid w:val="00C31763"/>
    <w:rsid w:val="00C321E9"/>
    <w:rsid w:val="00C32651"/>
    <w:rsid w:val="00C33038"/>
    <w:rsid w:val="00C368D5"/>
    <w:rsid w:val="00C411E9"/>
    <w:rsid w:val="00C439C2"/>
    <w:rsid w:val="00C503D1"/>
    <w:rsid w:val="00C5570B"/>
    <w:rsid w:val="00C55F91"/>
    <w:rsid w:val="00C5765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4782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4E4A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932"/>
    <w:rsid w:val="00D01040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48DB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57F1"/>
    <w:rsid w:val="00D662EB"/>
    <w:rsid w:val="00D7190A"/>
    <w:rsid w:val="00D71ED1"/>
    <w:rsid w:val="00D72702"/>
    <w:rsid w:val="00D7555B"/>
    <w:rsid w:val="00D75CD6"/>
    <w:rsid w:val="00D75EC3"/>
    <w:rsid w:val="00D80590"/>
    <w:rsid w:val="00D8671A"/>
    <w:rsid w:val="00D86D05"/>
    <w:rsid w:val="00D93A04"/>
    <w:rsid w:val="00D955E7"/>
    <w:rsid w:val="00DA031E"/>
    <w:rsid w:val="00DA0C38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6A8B"/>
    <w:rsid w:val="00DF00E6"/>
    <w:rsid w:val="00DF0E32"/>
    <w:rsid w:val="00DF1856"/>
    <w:rsid w:val="00DF3C19"/>
    <w:rsid w:val="00E02D0D"/>
    <w:rsid w:val="00E052DA"/>
    <w:rsid w:val="00E07C42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4E97"/>
    <w:rsid w:val="00E45D5E"/>
    <w:rsid w:val="00E47188"/>
    <w:rsid w:val="00E512BB"/>
    <w:rsid w:val="00E52CED"/>
    <w:rsid w:val="00E54BE5"/>
    <w:rsid w:val="00E55777"/>
    <w:rsid w:val="00E5676C"/>
    <w:rsid w:val="00E56E03"/>
    <w:rsid w:val="00E57A9C"/>
    <w:rsid w:val="00E57CFF"/>
    <w:rsid w:val="00E57D15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21B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5267"/>
    <w:rsid w:val="00EB67CE"/>
    <w:rsid w:val="00EC6435"/>
    <w:rsid w:val="00ED2550"/>
    <w:rsid w:val="00ED2C99"/>
    <w:rsid w:val="00ED3347"/>
    <w:rsid w:val="00ED544B"/>
    <w:rsid w:val="00ED5771"/>
    <w:rsid w:val="00ED5CBF"/>
    <w:rsid w:val="00ED63FC"/>
    <w:rsid w:val="00ED7CA8"/>
    <w:rsid w:val="00EE0476"/>
    <w:rsid w:val="00EE5FAB"/>
    <w:rsid w:val="00EE7FFE"/>
    <w:rsid w:val="00EF31B2"/>
    <w:rsid w:val="00EF390F"/>
    <w:rsid w:val="00EF486E"/>
    <w:rsid w:val="00EF62D0"/>
    <w:rsid w:val="00F0151D"/>
    <w:rsid w:val="00F0215C"/>
    <w:rsid w:val="00F04F6F"/>
    <w:rsid w:val="00F07491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0A42"/>
    <w:rsid w:val="00F4196F"/>
    <w:rsid w:val="00F41B31"/>
    <w:rsid w:val="00F4211F"/>
    <w:rsid w:val="00F46B32"/>
    <w:rsid w:val="00F46E7F"/>
    <w:rsid w:val="00F502DF"/>
    <w:rsid w:val="00F53C17"/>
    <w:rsid w:val="00F55002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2AD1"/>
    <w:rsid w:val="00FB3567"/>
    <w:rsid w:val="00FB38CF"/>
    <w:rsid w:val="00FB4166"/>
    <w:rsid w:val="00FB4617"/>
    <w:rsid w:val="00FB51C0"/>
    <w:rsid w:val="00FB6C57"/>
    <w:rsid w:val="00FB7297"/>
    <w:rsid w:val="00FC09A7"/>
    <w:rsid w:val="00FC0CEB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342"/>
    <w:rsid w:val="00FF4E21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cina_gus@zt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stat.gov.ua/sites/default/files/migration/files/2023/190_2023/190_2023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411785452910211E-2"/>
          <c:y val="7.434944237918216E-2"/>
          <c:w val="0.85580587420973275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575145498117084E-2"/>
                  <c:y val="-1.377354022028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881547415268722E-2"/>
                  <c:y val="-6.2594034481749258E-2"/>
                </c:manualLayout>
              </c:layout>
              <c:tx>
                <c:rich>
                  <a:bodyPr/>
                  <a:lstStyle/>
                  <a:p>
                    <a:fld id="{FAF05DE3-835F-4293-9560-71613F1A7EB2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9187949332420405E-2"/>
                  <c:y val="-3.5637172592358025E-2"/>
                </c:manualLayout>
              </c:layout>
              <c:tx>
                <c:rich>
                  <a:bodyPr/>
                  <a:lstStyle/>
                  <a:p>
                    <a:fld id="{849E5ECA-6697-45E0-A7E2-FDACBDFCBF8E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4.9319411160561454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40391B8D-DF6C-4CD7-9DE6-77EEFE5081C3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4.9187949332420482E-2"/>
                  <c:y val="-4.2396212808647311E-2"/>
                </c:manualLayout>
              </c:layout>
              <c:tx>
                <c:rich>
                  <a:bodyPr/>
                  <a:lstStyle/>
                  <a:p>
                    <a:fld id="{F8663B49-055C-4E4E-B447-807833CF5CF9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6.1968503937007875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1F01A193-E289-436C-A2C7-29164DE27839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667237247517971E-2"/>
                  <c:y val="-4.9075954049170721E-2"/>
                </c:manualLayout>
              </c:layout>
              <c:tx>
                <c:rich>
                  <a:bodyPr/>
                  <a:lstStyle/>
                  <a:p>
                    <a:fld id="{74437A6C-E260-46DD-ADD1-C11FEB92A72D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7752139678192399E-2"/>
                  <c:y val="-4.9155253024936597E-2"/>
                </c:manualLayout>
              </c:layout>
              <c:tx>
                <c:rich>
                  <a:bodyPr/>
                  <a:lstStyle/>
                  <a:p>
                    <a:fld id="{177C62EE-4C5E-4FDE-BB7A-DC80FBA8777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7.0664156110921E-2"/>
                  <c:y val="4.4632018158933119E-2"/>
                </c:manualLayout>
              </c:layout>
              <c:tx>
                <c:rich>
                  <a:bodyPr/>
                  <a:lstStyle/>
                  <a:p>
                    <a:fld id="{DF7813AA-5FF6-4FAE-87DB-51BA18EAF5CA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4.5234508729887102E-2"/>
                  <c:y val="3.2032528546300759E-2"/>
                </c:manualLayout>
              </c:layout>
              <c:tx>
                <c:rich>
                  <a:bodyPr/>
                  <a:lstStyle/>
                  <a:p>
                    <a:fld id="{49AA57AE-E5D2-4BDB-BAA9-82AC6DCCD315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5.3009928106812737E-2"/>
                  <c:y val="-4.815736322922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077028414926395E-2"/>
                  <c:y val="-5.7412458454521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9317357069496749E-2"/>
                  <c:y val="-4.72738981300875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8395412529955499E-2"/>
                      <c:h val="7.1274345184716051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2.2999999999999998</c:v>
                </c:pt>
                <c:pt idx="1">
                  <c:v>1</c:v>
                </c:pt>
                <c:pt idx="2">
                  <c:v>1.4</c:v>
                </c:pt>
                <c:pt idx="3">
                  <c:v>0.9</c:v>
                </c:pt>
                <c:pt idx="4">
                  <c:v>1</c:v>
                </c:pt>
                <c:pt idx="5">
                  <c:v>0.6</c:v>
                </c:pt>
                <c:pt idx="6">
                  <c:v>1.4</c:v>
                </c:pt>
                <c:pt idx="7">
                  <c:v>1</c:v>
                </c:pt>
                <c:pt idx="8">
                  <c:v>-0.1</c:v>
                </c:pt>
                <c:pt idx="9">
                  <c:v>-0.2</c:v>
                </c:pt>
                <c:pt idx="10">
                  <c:v>0.6</c:v>
                </c:pt>
                <c:pt idx="11">
                  <c:v>0.2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2640512"/>
        <c:axId val="312643872"/>
      </c:lineChart>
      <c:catAx>
        <c:axId val="31264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643872"/>
        <c:crosses val="autoZero"/>
        <c:auto val="1"/>
        <c:lblAlgn val="ctr"/>
        <c:lblOffset val="100"/>
        <c:tickLblSkip val="1"/>
        <c:noMultiLvlLbl val="0"/>
      </c:catAx>
      <c:valAx>
        <c:axId val="31264387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64051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36291012335663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28E-2"/>
                  <c:y val="-5.5914293241225918E-2"/>
                </c:manualLayout>
              </c:layout>
              <c:tx>
                <c:rich>
                  <a:bodyPr/>
                  <a:lstStyle/>
                  <a:p>
                    <a:fld id="{7957C948-1259-4D10-9B56-62441E49C5C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6.2362910123356603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44577686467803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334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883626808687069E-2"/>
                  <c:y val="-5.315053766302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853479821181366E-2"/>
                  <c:y val="-4.389437802194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1.4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5.4</c:v>
                </c:pt>
                <c:pt idx="5">
                  <c:v>6.5</c:v>
                </c:pt>
                <c:pt idx="6">
                  <c:v>6.4</c:v>
                </c:pt>
                <c:pt idx="7">
                  <c:v>6.1</c:v>
                </c:pt>
                <c:pt idx="8">
                  <c:v>6.8</c:v>
                </c:pt>
                <c:pt idx="9">
                  <c:v>7.6</c:v>
                </c:pt>
                <c:pt idx="10">
                  <c:v>7.9</c:v>
                </c:pt>
                <c:pt idx="11">
                  <c:v>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2638272"/>
        <c:axId val="44644720"/>
      </c:lineChart>
      <c:catAx>
        <c:axId val="312638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644720"/>
        <c:crosses val="autoZero"/>
        <c:auto val="1"/>
        <c:lblAlgn val="ctr"/>
        <c:lblOffset val="100"/>
        <c:noMultiLvlLbl val="0"/>
      </c:catAx>
      <c:valAx>
        <c:axId val="44644720"/>
        <c:scaling>
          <c:orientation val="minMax"/>
          <c:max val="9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6382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7.434944237918216E-2"/>
          <c:w val="0.87836846274831548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264510397738744E-2"/>
                  <c:y val="-7.66749434566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>
                    <c:manualLayout>
                      <c:w val="7.3210417928528157E-2"/>
                      <c:h val="0.12979246059672558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5.2737653947102767E-2"/>
                  <c:y val="4.4969083754918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4031899858671E-2"/>
                  <c:y val="-6.8452151744101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643084998990513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7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63000201897847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458025439127803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8.7218574601251764E-2"/>
                  <c:y val="1.9420801742109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84958610942938E-2"/>
                  <c:y val="4.891007511076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752311730264637E-2"/>
                  <c:y val="4.5345301483183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635735917625683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003472642842869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4388451443571056E-3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1.7</c:v>
                </c:pt>
                <c:pt idx="2">
                  <c:v>1.4</c:v>
                </c:pt>
                <c:pt idx="3">
                  <c:v>1.3</c:v>
                </c:pt>
                <c:pt idx="4">
                  <c:v>1.4</c:v>
                </c:pt>
                <c:pt idx="5">
                  <c:v>2.9</c:v>
                </c:pt>
                <c:pt idx="6">
                  <c:v>1.6</c:v>
                </c:pt>
                <c:pt idx="7">
                  <c:v>-0.8</c:v>
                </c:pt>
                <c:pt idx="8">
                  <c:v>-0.4</c:v>
                </c:pt>
                <c:pt idx="9">
                  <c:v>-0.7</c:v>
                </c:pt>
                <c:pt idx="10">
                  <c:v>0.9</c:v>
                </c:pt>
                <c:pt idx="11">
                  <c:v>0.4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645280"/>
        <c:axId val="304881904"/>
      </c:lineChart>
      <c:catAx>
        <c:axId val="44645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881904"/>
        <c:crosses val="autoZero"/>
        <c:auto val="1"/>
        <c:lblAlgn val="ctr"/>
        <c:lblOffset val="200"/>
        <c:noMultiLvlLbl val="0"/>
      </c:catAx>
      <c:valAx>
        <c:axId val="304881904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6452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75996182295399E-2"/>
          <c:y val="4.1175038617643281E-2"/>
          <c:w val="0.89893899626183094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936132983377079E-2"/>
                  <c:y val="-9.9159485334147784E-2"/>
                </c:manualLayout>
              </c:layout>
              <c:tx>
                <c:rich>
                  <a:bodyPr/>
                  <a:lstStyle/>
                  <a:p>
                    <a:fld id="{9EB813E6-BD69-4FA4-86FD-39685529A342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6.1924123120973534E-2"/>
                  <c:y val="-8.956194978157242E-2"/>
                </c:manualLayout>
              </c:layout>
              <c:tx>
                <c:rich>
                  <a:bodyPr/>
                  <a:lstStyle/>
                  <a:p>
                    <a:fld id="{075C894A-FCC3-4314-AC87-AFB0D0166A4B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0295394893820088E-2"/>
                  <c:y val="-7.0517365767727602E-2"/>
                </c:manualLayout>
              </c:layout>
              <c:tx>
                <c:rich>
                  <a:bodyPr/>
                  <a:lstStyle/>
                  <a:p>
                    <a:fld id="{49F5C1D8-A6DD-4483-B386-D001E2747223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4.3701582756700864E-2"/>
                  <c:y val="-7.0517365767727602E-2"/>
                </c:manualLayout>
              </c:layout>
              <c:tx>
                <c:rich>
                  <a:bodyPr/>
                  <a:lstStyle/>
                  <a:p>
                    <a:fld id="{7DDB6708-796F-488F-8990-9EE4F94C0136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0651713990296741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94893820088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93D25D3E-5B0B-472E-8C00-A2E7EC740C7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5145629523582281E-2"/>
                  <c:y val="-0.10080422072030208"/>
                </c:manualLayout>
              </c:layout>
              <c:tx>
                <c:rich>
                  <a:bodyPr/>
                  <a:lstStyle/>
                  <a:p>
                    <a:fld id="{58D7B783-2B27-4C73-AD74-8EF389EE6E42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0295394893820164E-2"/>
                  <c:y val="-5.927509482899803E-2"/>
                </c:manualLayout>
              </c:layout>
              <c:tx>
                <c:rich>
                  <a:bodyPr/>
                  <a:lstStyle/>
                  <a:p>
                    <a:fld id="{236EC141-7316-492E-A1C2-5823E680C8E0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tx>
                <c:rich>
                  <a:bodyPr/>
                  <a:lstStyle/>
                  <a:p>
                    <a:fld id="{4AB787EA-66A5-4F69-A289-EB03E96B5671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4.9364193112224605E-2"/>
                  <c:y val="-4.4592866026653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937882764654418E-2"/>
                  <c:y val="-7.0642181531693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590153503539479E-2"/>
                  <c:y val="-0.1134185798444671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0.3</c:v>
                </c:pt>
                <c:pt idx="2">
                  <c:v>0.4</c:v>
                </c:pt>
                <c:pt idx="3">
                  <c:v>0.1</c:v>
                </c:pt>
                <c:pt idx="4">
                  <c:v>0.4</c:v>
                </c:pt>
                <c:pt idx="5">
                  <c:v>0</c:v>
                </c:pt>
                <c:pt idx="6">
                  <c:v>0.3</c:v>
                </c:pt>
                <c:pt idx="7">
                  <c:v>0.2</c:v>
                </c:pt>
                <c:pt idx="8">
                  <c:v>0.1</c:v>
                </c:pt>
                <c:pt idx="9">
                  <c:v>0.4</c:v>
                </c:pt>
                <c:pt idx="10">
                  <c:v>0.4</c:v>
                </c:pt>
                <c:pt idx="11">
                  <c:v>0.6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4881344"/>
        <c:axId val="312534480"/>
      </c:lineChart>
      <c:catAx>
        <c:axId val="30488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534480"/>
        <c:crosses val="autoZero"/>
        <c:auto val="1"/>
        <c:lblAlgn val="ctr"/>
        <c:lblOffset val="200"/>
        <c:noMultiLvlLbl val="0"/>
      </c:catAx>
      <c:valAx>
        <c:axId val="312534480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88134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923773825741439E-2"/>
                  <c:y val="-5.4190401579229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65505623255640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066779299162381E-2"/>
                  <c:y val="-9.3001907645186843E-2"/>
                </c:manualLayout>
              </c:layout>
              <c:tx>
                <c:rich>
                  <a:bodyPr/>
                  <a:lstStyle/>
                  <a:p>
                    <a:fld id="{23D2CEE5-7FA2-4534-A0A7-B717163F3806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0503525569898289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2ED7E1D1-5942-4003-9A5A-228A94B2A66B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4.6181159056414019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90A2EA69-7EE4-4775-94DC-1AFA72EF5CA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5688615964765362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C4AF531A-573F-4A3E-BF92-46B7F2686DEE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6.543516045271143E-2"/>
                  <c:y val="-6.7077407904113109E-2"/>
                </c:manualLayout>
              </c:layout>
              <c:tx>
                <c:rich>
                  <a:bodyPr/>
                  <a:lstStyle/>
                  <a:p>
                    <a:fld id="{8A9B8D20-294D-4164-A8A9-E91AD04DB817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1782546930656578E-2"/>
                  <c:y val="-5.9275094828997975E-2"/>
                </c:manualLayout>
              </c:layout>
              <c:tx>
                <c:rich>
                  <a:bodyPr/>
                  <a:lstStyle/>
                  <a:p>
                    <a:fld id="{7B756589-94AC-4423-841B-17862209108C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2.4238880240772209E-2"/>
                  <c:y val="2.642553323330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49825624810697E-2"/>
                  <c:y val="-7.8319678842842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517951816401474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30590899446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7731567497695783E-4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0.1</c:v>
                </c:pt>
                <c:pt idx="1">
                  <c:v>2.2000000000000002</c:v>
                </c:pt>
                <c:pt idx="2">
                  <c:v>1</c:v>
                </c:pt>
                <c:pt idx="3">
                  <c:v>0.5</c:v>
                </c:pt>
                <c:pt idx="4">
                  <c:v>0</c:v>
                </c:pt>
                <c:pt idx="5">
                  <c:v>0.2</c:v>
                </c:pt>
                <c:pt idx="6">
                  <c:v>0.3</c:v>
                </c:pt>
                <c:pt idx="7">
                  <c:v>1.2</c:v>
                </c:pt>
                <c:pt idx="8">
                  <c:v>-0.7</c:v>
                </c:pt>
                <c:pt idx="9">
                  <c:v>0.7</c:v>
                </c:pt>
                <c:pt idx="10">
                  <c:v>0.6</c:v>
                </c:pt>
                <c:pt idx="11" formatCode="0.0">
                  <c:v>1</c:v>
                </c:pt>
                <c:pt idx="12" formatCode="0.0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2514384"/>
        <c:axId val="312514944"/>
      </c:lineChart>
      <c:catAx>
        <c:axId val="312514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514944"/>
        <c:crosses val="autoZero"/>
        <c:auto val="1"/>
        <c:lblAlgn val="ctr"/>
        <c:lblOffset val="200"/>
        <c:noMultiLvlLbl val="0"/>
      </c:catAx>
      <c:valAx>
        <c:axId val="31251494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5143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EEF47-2965-4230-A99F-F69535D9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3650</Words>
  <Characters>2081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30805</cp:lastModifiedBy>
  <cp:revision>18</cp:revision>
  <dcterms:created xsi:type="dcterms:W3CDTF">2026-01-12T11:35:00Z</dcterms:created>
  <dcterms:modified xsi:type="dcterms:W3CDTF">2026-01-13T12:09:00Z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